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D7B73" w14:textId="77777777" w:rsidR="003B0931" w:rsidRPr="00234EF9" w:rsidRDefault="004023BE">
      <w:pPr>
        <w:rPr>
          <w:rFonts w:ascii="Century Gothic" w:hAnsi="Century Gothic"/>
          <w:b/>
          <w:sz w:val="24"/>
          <w:szCs w:val="24"/>
        </w:rPr>
      </w:pPr>
      <w:r w:rsidRPr="00234EF9">
        <w:rPr>
          <w:rFonts w:ascii="Century Gothic" w:hAnsi="Century Gothic"/>
          <w:b/>
          <w:sz w:val="24"/>
          <w:szCs w:val="24"/>
        </w:rPr>
        <w:t>Client Training and Enablement Session</w:t>
      </w:r>
    </w:p>
    <w:p w14:paraId="70459FAD" w14:textId="7EEF6FEA" w:rsidR="004023BE" w:rsidRPr="00234EF9" w:rsidRDefault="004023BE">
      <w:pPr>
        <w:rPr>
          <w:rFonts w:ascii="Century Gothic" w:hAnsi="Century Gothic"/>
          <w:sz w:val="24"/>
          <w:szCs w:val="24"/>
        </w:rPr>
      </w:pPr>
      <w:r w:rsidRPr="00234EF9">
        <w:rPr>
          <w:rFonts w:ascii="Century Gothic" w:hAnsi="Century Gothic"/>
          <w:b/>
          <w:sz w:val="24"/>
          <w:szCs w:val="24"/>
        </w:rPr>
        <w:t>Topic</w:t>
      </w:r>
      <w:r w:rsidRPr="00234EF9">
        <w:rPr>
          <w:rFonts w:ascii="Century Gothic" w:hAnsi="Century Gothic"/>
          <w:sz w:val="24"/>
          <w:szCs w:val="24"/>
        </w:rPr>
        <w:t>:</w:t>
      </w:r>
      <w:r w:rsidR="00546450" w:rsidRPr="00234EF9">
        <w:rPr>
          <w:rFonts w:ascii="Century Gothic" w:hAnsi="Century Gothic"/>
          <w:sz w:val="24"/>
          <w:szCs w:val="24"/>
        </w:rPr>
        <w:t xml:space="preserve">  BrassRing New UI Client Panel</w:t>
      </w:r>
    </w:p>
    <w:p w14:paraId="3A0B92D4" w14:textId="78C92E6A" w:rsidR="004023BE" w:rsidRPr="00234EF9" w:rsidRDefault="004023BE">
      <w:pPr>
        <w:rPr>
          <w:rFonts w:ascii="Century Gothic" w:hAnsi="Century Gothic"/>
          <w:sz w:val="24"/>
          <w:szCs w:val="24"/>
        </w:rPr>
      </w:pPr>
      <w:r w:rsidRPr="00234EF9">
        <w:rPr>
          <w:rFonts w:ascii="Century Gothic" w:hAnsi="Century Gothic"/>
          <w:b/>
          <w:sz w:val="24"/>
          <w:szCs w:val="24"/>
        </w:rPr>
        <w:t>Date</w:t>
      </w:r>
      <w:r w:rsidRPr="00234EF9">
        <w:rPr>
          <w:rFonts w:ascii="Century Gothic" w:hAnsi="Century Gothic"/>
          <w:sz w:val="24"/>
          <w:szCs w:val="24"/>
        </w:rPr>
        <w:t>:</w:t>
      </w:r>
      <w:r w:rsidR="00546450" w:rsidRPr="00234EF9">
        <w:rPr>
          <w:rFonts w:ascii="Century Gothic" w:hAnsi="Century Gothic"/>
          <w:sz w:val="24"/>
          <w:szCs w:val="24"/>
        </w:rPr>
        <w:t xml:space="preserve">  June 18</w:t>
      </w:r>
      <w:r w:rsidR="00546450" w:rsidRPr="00234EF9">
        <w:rPr>
          <w:rFonts w:ascii="Century Gothic" w:hAnsi="Century Gothic"/>
          <w:sz w:val="24"/>
          <w:szCs w:val="24"/>
          <w:vertAlign w:val="superscript"/>
        </w:rPr>
        <w:t>th</w:t>
      </w:r>
      <w:r w:rsidR="00546450" w:rsidRPr="00234EF9">
        <w:rPr>
          <w:rFonts w:ascii="Century Gothic" w:hAnsi="Century Gothic"/>
          <w:sz w:val="24"/>
          <w:szCs w:val="24"/>
        </w:rPr>
        <w:t>, 2019</w:t>
      </w:r>
    </w:p>
    <w:p w14:paraId="690CA6E8" w14:textId="77777777" w:rsidR="004023BE" w:rsidRPr="00234EF9" w:rsidRDefault="004023BE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4023BE" w:rsidRPr="00234EF9" w14:paraId="62187A9B" w14:textId="77777777" w:rsidTr="005A008C">
        <w:tc>
          <w:tcPr>
            <w:tcW w:w="4788" w:type="dxa"/>
            <w:shd w:val="clear" w:color="auto" w:fill="BFBFBF" w:themeFill="background1" w:themeFillShade="BF"/>
          </w:tcPr>
          <w:p w14:paraId="256BEE98" w14:textId="77777777" w:rsidR="004023BE" w:rsidRPr="00234EF9" w:rsidRDefault="004023BE" w:rsidP="004023B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34EF9">
              <w:rPr>
                <w:rFonts w:ascii="Century Gothic" w:hAnsi="Century Gothic"/>
                <w:b/>
                <w:sz w:val="24"/>
                <w:szCs w:val="24"/>
              </w:rPr>
              <w:t>Question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14:paraId="38AD0EAB" w14:textId="77777777" w:rsidR="004023BE" w:rsidRPr="00234EF9" w:rsidRDefault="004023BE" w:rsidP="004023B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34EF9">
              <w:rPr>
                <w:rFonts w:ascii="Century Gothic" w:hAnsi="Century Gothic"/>
                <w:b/>
                <w:sz w:val="24"/>
                <w:szCs w:val="24"/>
              </w:rPr>
              <w:t>Answer</w:t>
            </w:r>
          </w:p>
        </w:tc>
      </w:tr>
      <w:tr w:rsidR="004023BE" w:rsidRPr="00234EF9" w14:paraId="74ECF19D" w14:textId="77777777" w:rsidTr="005A008C">
        <w:tc>
          <w:tcPr>
            <w:tcW w:w="4788" w:type="dxa"/>
          </w:tcPr>
          <w:p w14:paraId="602466E5" w14:textId="590691F7" w:rsidR="004023BE" w:rsidRPr="00234EF9" w:rsidRDefault="00546450">
            <w:pPr>
              <w:rPr>
                <w:rFonts w:ascii="Century Gothic" w:hAnsi="Century Gothic"/>
                <w:sz w:val="24"/>
                <w:szCs w:val="24"/>
              </w:rPr>
            </w:pPr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>What date in August will users be defaulted to the new UI?</w:t>
            </w:r>
          </w:p>
        </w:tc>
        <w:tc>
          <w:tcPr>
            <w:tcW w:w="4788" w:type="dxa"/>
          </w:tcPr>
          <w:p w14:paraId="6F8C502E" w14:textId="084E4894" w:rsidR="004023BE" w:rsidRPr="00234EF9" w:rsidRDefault="00546450">
            <w:pPr>
              <w:rPr>
                <w:rFonts w:ascii="Century Gothic" w:hAnsi="Century Gothic"/>
                <w:sz w:val="24"/>
                <w:szCs w:val="24"/>
              </w:rPr>
            </w:pPr>
            <w:r w:rsidRPr="00234EF9">
              <w:rPr>
                <w:rFonts w:ascii="Century Gothic" w:hAnsi="Century Gothic"/>
                <w:sz w:val="24"/>
                <w:szCs w:val="24"/>
              </w:rPr>
              <w:t xml:space="preserve">This will occur as part of the August release.  View those tentative dates per environment </w:t>
            </w:r>
            <w:hyperlink r:id="rId6" w:history="1">
              <w:r w:rsidRPr="00234EF9">
                <w:rPr>
                  <w:rStyle w:val="Hyperlink"/>
                  <w:rFonts w:ascii="Century Gothic" w:hAnsi="Century Gothic"/>
                  <w:sz w:val="24"/>
                  <w:szCs w:val="24"/>
                </w:rPr>
                <w:t>here.</w:t>
              </w:r>
            </w:hyperlink>
          </w:p>
        </w:tc>
      </w:tr>
      <w:tr w:rsidR="004023BE" w:rsidRPr="00234EF9" w14:paraId="702E5502" w14:textId="77777777" w:rsidTr="005A008C">
        <w:tc>
          <w:tcPr>
            <w:tcW w:w="4788" w:type="dxa"/>
          </w:tcPr>
          <w:p w14:paraId="40FE0C72" w14:textId="10A8E44D" w:rsidR="004023BE" w:rsidRPr="00234EF9" w:rsidRDefault="00546450">
            <w:pPr>
              <w:rPr>
                <w:rFonts w:ascii="Century Gothic" w:hAnsi="Century Gothic"/>
                <w:sz w:val="24"/>
                <w:szCs w:val="24"/>
              </w:rPr>
            </w:pPr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>I heard classic view will also not be supported after August.  Can you confirm that?</w:t>
            </w:r>
          </w:p>
        </w:tc>
        <w:tc>
          <w:tcPr>
            <w:tcW w:w="4788" w:type="dxa"/>
          </w:tcPr>
          <w:p w14:paraId="6D30475B" w14:textId="1103A230" w:rsidR="004023BE" w:rsidRPr="00234EF9" w:rsidRDefault="00546450">
            <w:pPr>
              <w:rPr>
                <w:rFonts w:ascii="Century Gothic" w:hAnsi="Century Gothic"/>
                <w:sz w:val="24"/>
                <w:szCs w:val="24"/>
              </w:rPr>
            </w:pPr>
            <w:r w:rsidRPr="00234EF9">
              <w:rPr>
                <w:rFonts w:ascii="Century Gothic" w:hAnsi="Century Gothic"/>
                <w:sz w:val="24"/>
                <w:szCs w:val="24"/>
              </w:rPr>
              <w:t>Yes, that is correct.</w:t>
            </w:r>
          </w:p>
        </w:tc>
      </w:tr>
      <w:tr w:rsidR="005A008C" w:rsidRPr="00234EF9" w14:paraId="578CDA3A" w14:textId="77777777" w:rsidTr="005A008C">
        <w:tc>
          <w:tcPr>
            <w:tcW w:w="4788" w:type="dxa"/>
          </w:tcPr>
          <w:p w14:paraId="3C801DBF" w14:textId="220152EA" w:rsidR="005A008C" w:rsidRPr="00234EF9" w:rsidRDefault="005A008C">
            <w:pPr>
              <w:rPr>
                <w:rFonts w:ascii="Century Gothic" w:hAnsi="Century Gothic"/>
                <w:sz w:val="24"/>
                <w:szCs w:val="24"/>
              </w:rPr>
            </w:pPr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>How do you default just one user type to the new UI?  Is it in User Type Permissions?</w:t>
            </w:r>
          </w:p>
        </w:tc>
        <w:tc>
          <w:tcPr>
            <w:tcW w:w="4788" w:type="dxa"/>
          </w:tcPr>
          <w:p w14:paraId="1A01F125" w14:textId="20CF3594" w:rsidR="005A008C" w:rsidRPr="00234EF9" w:rsidRDefault="00DA5BF0">
            <w:pPr>
              <w:rPr>
                <w:rFonts w:ascii="Century Gothic" w:hAnsi="Century Gothic"/>
                <w:sz w:val="24"/>
                <w:szCs w:val="24"/>
              </w:rPr>
            </w:pPr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 xml:space="preserve">In Workbench, select one of the 5 different Personas from Tools &gt; </w:t>
            </w:r>
            <w:bookmarkStart w:id="0" w:name="_GoBack"/>
            <w:bookmarkEnd w:id="0"/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 xml:space="preserve">Users &gt; User Types &gt; Edit Type Permissions for the selected user type &gt; Select Persona Group. Find more information on our Knowledge Center </w:t>
            </w:r>
            <w:hyperlink r:id="rId7" w:history="1">
              <w:r w:rsidRPr="00234EF9">
                <w:rPr>
                  <w:rStyle w:val="Hyperlink"/>
                  <w:rFonts w:ascii="Century Gothic" w:hAnsi="Century Gothic" w:cs="Helvetica Neue"/>
                  <w:sz w:val="24"/>
                  <w:szCs w:val="24"/>
                </w:rPr>
                <w:t>here.</w:t>
              </w:r>
            </w:hyperlink>
          </w:p>
        </w:tc>
      </w:tr>
      <w:tr w:rsidR="005A008C" w:rsidRPr="00234EF9" w14:paraId="17DDA5EC" w14:textId="77777777" w:rsidTr="005A008C">
        <w:tc>
          <w:tcPr>
            <w:tcW w:w="4788" w:type="dxa"/>
          </w:tcPr>
          <w:p w14:paraId="519CCF57" w14:textId="44308AF7" w:rsidR="005A008C" w:rsidRPr="00234EF9" w:rsidRDefault="00DA5BF0">
            <w:pPr>
              <w:rPr>
                <w:rFonts w:ascii="Century Gothic" w:hAnsi="Century Gothic"/>
                <w:sz w:val="24"/>
                <w:szCs w:val="24"/>
              </w:rPr>
            </w:pPr>
            <w:r w:rsidRPr="00234EF9">
              <w:rPr>
                <w:rFonts w:ascii="Century Gothic" w:hAnsi="Century Gothic"/>
                <w:sz w:val="24"/>
                <w:szCs w:val="24"/>
              </w:rPr>
              <w:t>When is the London RUG?</w:t>
            </w:r>
          </w:p>
        </w:tc>
        <w:tc>
          <w:tcPr>
            <w:tcW w:w="4788" w:type="dxa"/>
          </w:tcPr>
          <w:p w14:paraId="07CB2882" w14:textId="50801D0B" w:rsidR="005A008C" w:rsidRPr="00234EF9" w:rsidRDefault="00DA5BF0">
            <w:pPr>
              <w:rPr>
                <w:rFonts w:ascii="Century Gothic" w:hAnsi="Century Gothic"/>
                <w:sz w:val="24"/>
                <w:szCs w:val="24"/>
              </w:rPr>
            </w:pPr>
            <w:r w:rsidRPr="00234EF9">
              <w:rPr>
                <w:rFonts w:ascii="Century Gothic" w:hAnsi="Century Gothic"/>
                <w:sz w:val="24"/>
                <w:szCs w:val="24"/>
              </w:rPr>
              <w:t xml:space="preserve">The London RUG is June 24th!  </w:t>
            </w:r>
            <w:hyperlink r:id="rId8" w:history="1">
              <w:r w:rsidRPr="00234EF9">
                <w:rPr>
                  <w:rStyle w:val="Hyperlink"/>
                  <w:rFonts w:ascii="Century Gothic" w:hAnsi="Century Gothic"/>
                  <w:sz w:val="24"/>
                  <w:szCs w:val="24"/>
                </w:rPr>
                <w:t>Click here</w:t>
              </w:r>
            </w:hyperlink>
            <w:r w:rsidRPr="00234EF9">
              <w:rPr>
                <w:rFonts w:ascii="Century Gothic" w:hAnsi="Century Gothic"/>
                <w:sz w:val="24"/>
                <w:szCs w:val="24"/>
              </w:rPr>
              <w:t xml:space="preserve"> for more details and to register!</w:t>
            </w:r>
          </w:p>
        </w:tc>
      </w:tr>
      <w:tr w:rsidR="005A008C" w:rsidRPr="00234EF9" w14:paraId="27D43FB3" w14:textId="77777777" w:rsidTr="005A008C">
        <w:tc>
          <w:tcPr>
            <w:tcW w:w="4788" w:type="dxa"/>
          </w:tcPr>
          <w:p w14:paraId="2D330608" w14:textId="11F40070" w:rsidR="005A008C" w:rsidRPr="00234EF9" w:rsidRDefault="00DA5BF0">
            <w:pPr>
              <w:rPr>
                <w:rFonts w:ascii="Century Gothic" w:hAnsi="Century Gothic"/>
                <w:sz w:val="24"/>
                <w:szCs w:val="24"/>
              </w:rPr>
            </w:pPr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 xml:space="preserve">Everyone talks about the rocket ship </w:t>
            </w:r>
            <w:proofErr w:type="gramStart"/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>icon</w:t>
            </w:r>
            <w:proofErr w:type="gramEnd"/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 xml:space="preserve"> but I don't see it and can't find it.  The way I get to the new UI is by clicking Enhanced Experience under the Hiring menu.</w:t>
            </w:r>
          </w:p>
        </w:tc>
        <w:tc>
          <w:tcPr>
            <w:tcW w:w="4788" w:type="dxa"/>
          </w:tcPr>
          <w:p w14:paraId="197B3CB2" w14:textId="21746FBF" w:rsidR="005A008C" w:rsidRPr="00234EF9" w:rsidRDefault="00DA5BF0">
            <w:pPr>
              <w:rPr>
                <w:rFonts w:ascii="Century Gothic" w:hAnsi="Century Gothic"/>
                <w:sz w:val="24"/>
                <w:szCs w:val="24"/>
              </w:rPr>
            </w:pPr>
            <w:r w:rsidRPr="00234EF9">
              <w:rPr>
                <w:rFonts w:ascii="Century Gothic" w:hAnsi="Century Gothic"/>
                <w:sz w:val="24"/>
                <w:szCs w:val="24"/>
              </w:rPr>
              <w:t>Only customers who are not yet on Talent Suite will see the rocket ship icon.</w:t>
            </w:r>
          </w:p>
        </w:tc>
      </w:tr>
      <w:tr w:rsidR="005A008C" w:rsidRPr="00234EF9" w14:paraId="4E47FD3A" w14:textId="77777777" w:rsidTr="005A008C">
        <w:tc>
          <w:tcPr>
            <w:tcW w:w="4788" w:type="dxa"/>
          </w:tcPr>
          <w:p w14:paraId="149C7100" w14:textId="2FC63208" w:rsidR="005A008C" w:rsidRPr="00234EF9" w:rsidRDefault="00F872F4">
            <w:pPr>
              <w:rPr>
                <w:rFonts w:ascii="Century Gothic" w:hAnsi="Century Gothic"/>
                <w:sz w:val="24"/>
                <w:szCs w:val="24"/>
              </w:rPr>
            </w:pPr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>H</w:t>
            </w:r>
            <w:r w:rsidR="00DA5BF0"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>ow do we turn off the option of toggling to the classic</w:t>
            </w:r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 xml:space="preserve"> UI?</w:t>
            </w:r>
          </w:p>
        </w:tc>
        <w:tc>
          <w:tcPr>
            <w:tcW w:w="4788" w:type="dxa"/>
          </w:tcPr>
          <w:p w14:paraId="50A7BE9A" w14:textId="63DD4BD3" w:rsidR="005A008C" w:rsidRPr="00234EF9" w:rsidRDefault="00F872F4">
            <w:pPr>
              <w:rPr>
                <w:rFonts w:ascii="Century Gothic" w:hAnsi="Century Gothic"/>
                <w:sz w:val="24"/>
                <w:szCs w:val="24"/>
              </w:rPr>
            </w:pPr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 xml:space="preserve">You can </w:t>
            </w:r>
            <w:r w:rsidR="0019625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>enable</w:t>
            </w:r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 xml:space="preserve"> the privilege Hide 'Full Site Home' link in BrassRing new UI under the Admin function.</w:t>
            </w:r>
          </w:p>
        </w:tc>
      </w:tr>
      <w:tr w:rsidR="005A008C" w:rsidRPr="00234EF9" w14:paraId="0E448014" w14:textId="77777777" w:rsidTr="005A008C">
        <w:tc>
          <w:tcPr>
            <w:tcW w:w="4788" w:type="dxa"/>
          </w:tcPr>
          <w:p w14:paraId="3ACA6766" w14:textId="25E40DF8" w:rsidR="005A008C" w:rsidRPr="00234EF9" w:rsidRDefault="00F872F4">
            <w:pPr>
              <w:rPr>
                <w:rFonts w:ascii="Century Gothic" w:hAnsi="Century Gothic"/>
                <w:sz w:val="24"/>
                <w:szCs w:val="24"/>
              </w:rPr>
            </w:pPr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 xml:space="preserve">How do I add more columns to view info like location, recruiter, </w:t>
            </w:r>
            <w:proofErr w:type="spellStart"/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>etc</w:t>
            </w:r>
            <w:proofErr w:type="spellEnd"/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 xml:space="preserve"> on the grid view page?</w:t>
            </w:r>
          </w:p>
        </w:tc>
        <w:tc>
          <w:tcPr>
            <w:tcW w:w="4788" w:type="dxa"/>
          </w:tcPr>
          <w:p w14:paraId="01ED78EB" w14:textId="7F73CC86" w:rsidR="005A008C" w:rsidRPr="00234EF9" w:rsidRDefault="00153E96">
            <w:pPr>
              <w:rPr>
                <w:rFonts w:ascii="Century Gothic" w:hAnsi="Century Gothic"/>
                <w:sz w:val="24"/>
                <w:szCs w:val="24"/>
              </w:rPr>
            </w:pPr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>You can add more columns from the grid view by clicking on the gear icon.</w:t>
            </w:r>
            <w:r w:rsidR="0019625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 xml:space="preserve"> A total of 20 columns can be added.</w:t>
            </w:r>
          </w:p>
        </w:tc>
      </w:tr>
      <w:tr w:rsidR="00153E96" w:rsidRPr="00234EF9" w14:paraId="0497A983" w14:textId="77777777" w:rsidTr="005A008C">
        <w:tc>
          <w:tcPr>
            <w:tcW w:w="4788" w:type="dxa"/>
          </w:tcPr>
          <w:p w14:paraId="132DEC76" w14:textId="7DE562D3" w:rsidR="00153E96" w:rsidRPr="00234EF9" w:rsidRDefault="00153E96">
            <w:pPr>
              <w:rPr>
                <w:rFonts w:ascii="Century Gothic" w:hAnsi="Century Gothic" w:cs="Helvetica Neue"/>
                <w:color w:val="1F1F1F"/>
                <w:sz w:val="24"/>
                <w:szCs w:val="24"/>
              </w:rPr>
            </w:pPr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 xml:space="preserve">Are we not able to have a view all </w:t>
            </w:r>
            <w:proofErr w:type="spellStart"/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>reqs</w:t>
            </w:r>
            <w:proofErr w:type="spellEnd"/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 xml:space="preserve"> tab?</w:t>
            </w:r>
          </w:p>
        </w:tc>
        <w:tc>
          <w:tcPr>
            <w:tcW w:w="4788" w:type="dxa"/>
          </w:tcPr>
          <w:p w14:paraId="63D52FCD" w14:textId="187A244C" w:rsidR="00153E96" w:rsidRPr="00234EF9" w:rsidRDefault="00234EF9">
            <w:pPr>
              <w:rPr>
                <w:rFonts w:ascii="Century Gothic" w:hAnsi="Century Gothic" w:cs="Helvetica Neue"/>
                <w:color w:val="1F1F1F"/>
                <w:sz w:val="24"/>
                <w:szCs w:val="24"/>
              </w:rPr>
            </w:pPr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 xml:space="preserve">Pending testing, the All Open </w:t>
            </w:r>
            <w:proofErr w:type="spellStart"/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>Reqs</w:t>
            </w:r>
            <w:proofErr w:type="spellEnd"/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 xml:space="preserve"> tab will be dark launched to staging in the July 2019 release. If feedback and client testing is positive</w:t>
            </w:r>
            <w:r w:rsidR="0019625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>,</w:t>
            </w:r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 xml:space="preserve"> we will push it to production with the August release.</w:t>
            </w:r>
          </w:p>
        </w:tc>
      </w:tr>
      <w:tr w:rsidR="00153E96" w:rsidRPr="00234EF9" w14:paraId="1EC8D133" w14:textId="77777777" w:rsidTr="005A008C">
        <w:tc>
          <w:tcPr>
            <w:tcW w:w="4788" w:type="dxa"/>
          </w:tcPr>
          <w:p w14:paraId="420A6049" w14:textId="5415420D" w:rsidR="00153E96" w:rsidRPr="00234EF9" w:rsidRDefault="00153E96">
            <w:pPr>
              <w:rPr>
                <w:rFonts w:ascii="Century Gothic" w:hAnsi="Century Gothic" w:cs="Helvetica Neue"/>
                <w:color w:val="1F1F1F"/>
                <w:sz w:val="24"/>
                <w:szCs w:val="24"/>
              </w:rPr>
            </w:pPr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>Will all the user permissions stay the same between the classic and new UI?</w:t>
            </w:r>
          </w:p>
        </w:tc>
        <w:tc>
          <w:tcPr>
            <w:tcW w:w="4788" w:type="dxa"/>
          </w:tcPr>
          <w:p w14:paraId="231CB141" w14:textId="40338C95" w:rsidR="00153E96" w:rsidRPr="00234EF9" w:rsidRDefault="00234EF9">
            <w:pPr>
              <w:rPr>
                <w:rFonts w:ascii="Century Gothic" w:hAnsi="Century Gothic" w:cs="Helvetica Neue"/>
                <w:color w:val="1F1F1F"/>
                <w:sz w:val="24"/>
                <w:szCs w:val="24"/>
              </w:rPr>
            </w:pPr>
            <w:r w:rsidRPr="00234EF9">
              <w:rPr>
                <w:rFonts w:ascii="Century Gothic" w:hAnsi="Century Gothic" w:cs="Helvetica Neue"/>
                <w:color w:val="1F1F1F"/>
                <w:sz w:val="24"/>
                <w:szCs w:val="24"/>
              </w:rPr>
              <w:t xml:space="preserve">Yes, the user permissions will stay the same when you switch to the new UI.  </w:t>
            </w:r>
          </w:p>
        </w:tc>
      </w:tr>
    </w:tbl>
    <w:p w14:paraId="74F2354A" w14:textId="77777777" w:rsidR="004023BE" w:rsidRPr="00234EF9" w:rsidRDefault="004023BE">
      <w:pPr>
        <w:rPr>
          <w:rFonts w:ascii="Century Gothic" w:hAnsi="Century Gothic"/>
          <w:sz w:val="24"/>
          <w:szCs w:val="24"/>
        </w:rPr>
      </w:pPr>
    </w:p>
    <w:sectPr w:rsidR="004023BE" w:rsidRPr="00234EF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4C7F3" w14:textId="77777777" w:rsidR="00AA6CD6" w:rsidRDefault="00AA6CD6" w:rsidP="004023BE">
      <w:r>
        <w:separator/>
      </w:r>
    </w:p>
  </w:endnote>
  <w:endnote w:type="continuationSeparator" w:id="0">
    <w:p w14:paraId="4E37594C" w14:textId="77777777" w:rsidR="00AA6CD6" w:rsidRDefault="00AA6CD6" w:rsidP="0040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D1173" w14:textId="77777777" w:rsidR="00AA6CD6" w:rsidRDefault="00AA6CD6" w:rsidP="004023BE">
      <w:r>
        <w:separator/>
      </w:r>
    </w:p>
  </w:footnote>
  <w:footnote w:type="continuationSeparator" w:id="0">
    <w:p w14:paraId="618140F9" w14:textId="77777777" w:rsidR="00AA6CD6" w:rsidRDefault="00AA6CD6" w:rsidP="0040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45478" w14:textId="77777777" w:rsidR="004023BE" w:rsidRDefault="004023B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4F029E" wp14:editId="0D244BA8">
          <wp:simplePos x="0" y="0"/>
          <wp:positionH relativeFrom="margin">
            <wp:posOffset>-906780</wp:posOffset>
          </wp:positionH>
          <wp:positionV relativeFrom="paragraph">
            <wp:posOffset>-457200</wp:posOffset>
          </wp:positionV>
          <wp:extent cx="7772400" cy="5943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82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BE"/>
    <w:rsid w:val="00153E96"/>
    <w:rsid w:val="00196259"/>
    <w:rsid w:val="00234EF9"/>
    <w:rsid w:val="003B0931"/>
    <w:rsid w:val="004023BE"/>
    <w:rsid w:val="00546450"/>
    <w:rsid w:val="005A008C"/>
    <w:rsid w:val="005B4C14"/>
    <w:rsid w:val="007A5B99"/>
    <w:rsid w:val="00894B4B"/>
    <w:rsid w:val="00AA6CD6"/>
    <w:rsid w:val="00BF7318"/>
    <w:rsid w:val="00DA5BF0"/>
    <w:rsid w:val="00E1366B"/>
    <w:rsid w:val="00F03B95"/>
    <w:rsid w:val="00F8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44D92"/>
  <w15:chartTrackingRefBased/>
  <w15:docId w15:val="{BE5C4814-EEE4-44B2-873F-948B6346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3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3BE"/>
  </w:style>
  <w:style w:type="paragraph" w:styleId="Footer">
    <w:name w:val="footer"/>
    <w:basedOn w:val="Normal"/>
    <w:link w:val="FooterChar"/>
    <w:uiPriority w:val="99"/>
    <w:unhideWhenUsed/>
    <w:rsid w:val="004023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3BE"/>
  </w:style>
  <w:style w:type="table" w:styleId="TableGrid">
    <w:name w:val="Table Grid"/>
    <w:basedOn w:val="TableNormal"/>
    <w:uiPriority w:val="59"/>
    <w:rsid w:val="004023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m.webex.com/mw3300/mywebex/default.do?nomenu=true&amp;siteurl=ibm&amp;service=6&amp;rnd=0.3991827786790416&amp;main_url=https%3A%2F%2Fibm.webex.com%2Fec3300%2Feventcenter%2Fevent%2FeventAction.do%3FtheAction%3Ddetail%26%26%26EMK%3D4832534b00000004722f6f40ad3b182eccda824ab53ef1740cfa2f3135c25d80ab440c3daf0b807c%26siteurl%3Dibm%26confViewID%3D121996690180811737%26encryptTicket%3DSDJTSwAAAAQ63fZcTGs9ipuHg-RdSRozjRxTDvUr2L9vu-_XFksDwA2%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bm.com/support/knowledgecenter/SSEUFV/2_Configuration/2_UserManagement/1_ConfigureU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-01.ibm.com/support/entdocview.wss?uid=ibm1079525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Trumble</dc:creator>
  <cp:keywords/>
  <dc:description/>
  <cp:lastModifiedBy>Claudia Arens</cp:lastModifiedBy>
  <cp:revision>5</cp:revision>
  <dcterms:created xsi:type="dcterms:W3CDTF">2019-06-18T16:14:00Z</dcterms:created>
  <dcterms:modified xsi:type="dcterms:W3CDTF">2019-06-18T17:55:00Z</dcterms:modified>
</cp:coreProperties>
</file>